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649" w:rsidRDefault="00690649">
      <w:pPr>
        <w:pStyle w:val="af8"/>
        <w:tabs>
          <w:tab w:val="left" w:pos="709"/>
        </w:tabs>
        <w:rPr>
          <w:sz w:val="24"/>
        </w:rPr>
      </w:pPr>
    </w:p>
    <w:p w:rsidR="00690649" w:rsidRDefault="003A3D1B">
      <w:pPr>
        <w:tabs>
          <w:tab w:val="left" w:pos="709"/>
        </w:tabs>
        <w:jc w:val="center"/>
        <w:rPr>
          <w:b/>
        </w:rPr>
      </w:pPr>
      <w:r>
        <w:rPr>
          <w:b/>
        </w:rPr>
        <w:t xml:space="preserve">Муниципальная программа </w:t>
      </w:r>
    </w:p>
    <w:p w:rsidR="00690649" w:rsidRDefault="003A3D1B">
      <w:pPr>
        <w:tabs>
          <w:tab w:val="left" w:pos="709"/>
        </w:tabs>
        <w:jc w:val="center"/>
        <w:rPr>
          <w:sz w:val="28"/>
        </w:rPr>
      </w:pPr>
      <w:r>
        <w:t>«</w:t>
      </w:r>
      <w:r>
        <w:rPr>
          <w:b/>
        </w:rPr>
        <w:t xml:space="preserve">Создание условий для эффективного и ответственного управления муниципальными финансами, повышения устойчивости бюджета </w:t>
      </w:r>
      <w:r>
        <w:rPr>
          <w:b/>
        </w:rPr>
        <w:t xml:space="preserve">муниципального </w:t>
      </w:r>
      <w:proofErr w:type="gramStart"/>
      <w:r>
        <w:rPr>
          <w:b/>
        </w:rPr>
        <w:t>образования</w:t>
      </w:r>
      <w:proofErr w:type="gramEnd"/>
      <w:r>
        <w:rPr>
          <w:b/>
        </w:rPr>
        <w:t xml:space="preserve"> ЗАТО г. Североморск»</w:t>
      </w:r>
      <w:r>
        <w:rPr>
          <w:sz w:val="28"/>
        </w:rPr>
        <w:t xml:space="preserve"> </w:t>
      </w:r>
    </w:p>
    <w:p w:rsidR="00690649" w:rsidRDefault="003A3D1B">
      <w:pPr>
        <w:tabs>
          <w:tab w:val="left" w:pos="709"/>
        </w:tabs>
        <w:jc w:val="center"/>
        <w:rPr>
          <w:b/>
        </w:rPr>
      </w:pPr>
      <w:r>
        <w:rPr>
          <w:b/>
        </w:rPr>
        <w:t>на 2021 - 2026 годы</w:t>
      </w:r>
    </w:p>
    <w:p w:rsidR="00690649" w:rsidRDefault="00690649">
      <w:pPr>
        <w:tabs>
          <w:tab w:val="left" w:pos="709"/>
        </w:tabs>
        <w:jc w:val="center"/>
        <w:rPr>
          <w:b/>
        </w:rPr>
      </w:pPr>
    </w:p>
    <w:p w:rsidR="00690649" w:rsidRDefault="003A3D1B">
      <w:pPr>
        <w:keepNext/>
        <w:tabs>
          <w:tab w:val="left" w:pos="709"/>
        </w:tabs>
        <w:jc w:val="center"/>
        <w:outlineLvl w:val="0"/>
        <w:rPr>
          <w:b/>
        </w:rPr>
      </w:pPr>
      <w:r>
        <w:rPr>
          <w:b/>
        </w:rPr>
        <w:t>Паспорт муниципальной программы</w:t>
      </w:r>
    </w:p>
    <w:p w:rsidR="00690649" w:rsidRDefault="0069064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6"/>
        <w:gridCol w:w="7021"/>
      </w:tblGrid>
      <w:tr w:rsidR="00690649"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649" w:rsidRDefault="003A3D1B">
            <w:pPr>
              <w:tabs>
                <w:tab w:val="left" w:pos="709"/>
              </w:tabs>
            </w:pPr>
            <w:r>
              <w:rPr>
                <w:spacing w:val="-4"/>
              </w:rPr>
              <w:t xml:space="preserve">Заказчик – координатор муниципальной </w:t>
            </w:r>
            <w:proofErr w:type="spellStart"/>
            <w:r>
              <w:rPr>
                <w:spacing w:val="-4"/>
              </w:rPr>
              <w:t>прграммы</w:t>
            </w:r>
            <w:proofErr w:type="spellEnd"/>
            <w:r>
              <w:rPr>
                <w:spacing w:val="-4"/>
              </w:rPr>
              <w:t xml:space="preserve"> 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649" w:rsidRDefault="003A3D1B">
            <w:pPr>
              <w:tabs>
                <w:tab w:val="left" w:pos="709"/>
              </w:tabs>
            </w:pPr>
            <w:r>
              <w:t xml:space="preserve">Управление финансов </w:t>
            </w:r>
            <w:proofErr w:type="gramStart"/>
            <w:r>
              <w:t>администрации</w:t>
            </w:r>
            <w:proofErr w:type="gramEnd"/>
            <w:r>
              <w:t xml:space="preserve"> ЗАТО г. Североморск</w:t>
            </w:r>
          </w:p>
        </w:tc>
      </w:tr>
      <w:tr w:rsidR="00690649"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649" w:rsidRDefault="003A3D1B">
            <w:pPr>
              <w:tabs>
                <w:tab w:val="left" w:pos="709"/>
              </w:tabs>
            </w:pPr>
            <w:r>
              <w:t xml:space="preserve">Заказчики муниципальной программы 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649" w:rsidRDefault="003A3D1B">
            <w:r>
              <w:t xml:space="preserve">Управление финансов </w:t>
            </w:r>
            <w:proofErr w:type="gramStart"/>
            <w:r>
              <w:t>администрации</w:t>
            </w:r>
            <w:proofErr w:type="gramEnd"/>
            <w:r>
              <w:t xml:space="preserve"> ЗАТО г. Североморск</w:t>
            </w:r>
          </w:p>
        </w:tc>
      </w:tr>
      <w:tr w:rsidR="00690649"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649" w:rsidRDefault="003A3D1B">
            <w:pPr>
              <w:tabs>
                <w:tab w:val="left" w:pos="709"/>
              </w:tabs>
            </w:pPr>
            <w:r>
              <w:t xml:space="preserve">Цели </w:t>
            </w:r>
          </w:p>
          <w:p w:rsidR="00690649" w:rsidRDefault="003A3D1B">
            <w:pPr>
              <w:tabs>
                <w:tab w:val="left" w:pos="709"/>
              </w:tabs>
            </w:pPr>
            <w:r>
              <w:t>программы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649" w:rsidRDefault="003A3D1B">
            <w:r>
              <w:t xml:space="preserve">Обеспечение эффективного управления </w:t>
            </w:r>
            <w:r>
              <w:t>муниципальными финансами</w:t>
            </w:r>
          </w:p>
        </w:tc>
      </w:tr>
      <w:tr w:rsidR="00690649">
        <w:trPr>
          <w:trHeight w:val="1108"/>
        </w:trPr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649" w:rsidRDefault="003A3D1B">
            <w:pPr>
              <w:tabs>
                <w:tab w:val="left" w:pos="709"/>
              </w:tabs>
            </w:pPr>
            <w:r>
              <w:t xml:space="preserve">Задачи </w:t>
            </w:r>
          </w:p>
          <w:p w:rsidR="00690649" w:rsidRDefault="003A3D1B">
            <w:pPr>
              <w:tabs>
                <w:tab w:val="left" w:pos="709"/>
              </w:tabs>
            </w:pPr>
            <w:r>
              <w:t>программы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649" w:rsidRDefault="003A3D1B">
            <w:pPr>
              <w:jc w:val="both"/>
            </w:pPr>
            <w:r>
              <w:t xml:space="preserve">Обеспечение долгосрочной сбалансированности и устойчивости бюджета муниципального </w:t>
            </w:r>
            <w:proofErr w:type="gramStart"/>
            <w:r>
              <w:t>образования</w:t>
            </w:r>
            <w:proofErr w:type="gramEnd"/>
            <w:r>
              <w:t xml:space="preserve"> ЗАТО г. Североморск, оптимизация управления муниципальным долгом ЗАТО               г. Североморск и повышение качеств</w:t>
            </w:r>
            <w:r>
              <w:t>а бюджетного процесса в ЗАТО г. Североморск.</w:t>
            </w:r>
          </w:p>
        </w:tc>
      </w:tr>
      <w:tr w:rsidR="00690649">
        <w:trPr>
          <w:trHeight w:val="714"/>
        </w:trPr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649" w:rsidRDefault="003A3D1B">
            <w:pPr>
              <w:tabs>
                <w:tab w:val="left" w:pos="709"/>
              </w:tabs>
            </w:pPr>
            <w:r>
              <w:t xml:space="preserve">Важнейшие целевые показатели (индикаторы) реализации </w:t>
            </w:r>
            <w:r>
              <w:t>программы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649" w:rsidRDefault="003A3D1B">
            <w:pPr>
              <w:jc w:val="both"/>
            </w:pPr>
            <w:r>
              <w:t xml:space="preserve">1. Объем налоговых и неналоговых доходов местного </w:t>
            </w:r>
            <w:proofErr w:type="gramStart"/>
            <w:r>
              <w:t>бюджета</w:t>
            </w:r>
            <w:proofErr w:type="gramEnd"/>
            <w:r>
              <w:t xml:space="preserve"> ЗАТО г. Североморск, тыс. руб.</w:t>
            </w:r>
          </w:p>
          <w:p w:rsidR="00690649" w:rsidRDefault="003A3D1B">
            <w:pPr>
              <w:jc w:val="both"/>
            </w:pPr>
            <w:r>
              <w:t xml:space="preserve">2.Степень качества управления муниципальными финансами, </w:t>
            </w:r>
            <w:proofErr w:type="gramStart"/>
            <w:r>
              <w:t>присвоенная</w:t>
            </w:r>
            <w:proofErr w:type="gramEnd"/>
            <w:r>
              <w:t xml:space="preserve"> ЗАТО г. Североморск Министерством финансов Мурманской области, группа.</w:t>
            </w:r>
          </w:p>
          <w:p w:rsidR="00690649" w:rsidRDefault="003A3D1B">
            <w:pPr>
              <w:jc w:val="both"/>
            </w:pPr>
            <w:r>
              <w:t>3.Доля расходов местного бюджета, формируемых в рамках муниципальных программ, %.</w:t>
            </w:r>
          </w:p>
          <w:p w:rsidR="00690649" w:rsidRDefault="003A3D1B">
            <w:pPr>
              <w:jc w:val="both"/>
            </w:pPr>
            <w:r>
              <w:t>4. Доля доходов местного бюджета от использования объектов муниципального имущества в общем</w:t>
            </w:r>
            <w:r>
              <w:t xml:space="preserve"> объеме доходов, %.</w:t>
            </w:r>
          </w:p>
          <w:p w:rsidR="00690649" w:rsidRDefault="003A3D1B">
            <w:pPr>
              <w:jc w:val="both"/>
            </w:pPr>
            <w:r>
              <w:t>5. Доля просроченной кредиторской задолженности в общем объеме расходов бюджета, %.</w:t>
            </w:r>
          </w:p>
        </w:tc>
      </w:tr>
      <w:tr w:rsidR="00690649"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649" w:rsidRDefault="003A3D1B">
            <w:pPr>
              <w:tabs>
                <w:tab w:val="left" w:pos="709"/>
              </w:tabs>
              <w:spacing w:line="228" w:lineRule="auto"/>
            </w:pPr>
            <w:r>
              <w:t>Перечень подпрограмм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649" w:rsidRDefault="003A3D1B">
            <w:pPr>
              <w:tabs>
                <w:tab w:val="left" w:pos="459"/>
              </w:tabs>
              <w:spacing w:line="228" w:lineRule="auto"/>
              <w:rPr>
                <w:b/>
              </w:rPr>
            </w:pPr>
            <w:r>
              <w:t>Подпрограмма 1. «Управление муниципальными финансами»</w:t>
            </w:r>
            <w:r>
              <w:rPr>
                <w:b/>
              </w:rPr>
              <w:t xml:space="preserve"> </w:t>
            </w:r>
          </w:p>
        </w:tc>
      </w:tr>
      <w:tr w:rsidR="00690649"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649" w:rsidRDefault="003A3D1B">
            <w:pPr>
              <w:tabs>
                <w:tab w:val="left" w:pos="709"/>
              </w:tabs>
              <w:spacing w:line="228" w:lineRule="auto"/>
            </w:pPr>
            <w:r>
              <w:t>Сроки и этапы реализации программы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649" w:rsidRDefault="003A3D1B">
            <w:pPr>
              <w:tabs>
                <w:tab w:val="left" w:pos="709"/>
              </w:tabs>
              <w:spacing w:line="228" w:lineRule="auto"/>
            </w:pPr>
            <w:r>
              <w:t>2021 – 2026 годы</w:t>
            </w:r>
          </w:p>
        </w:tc>
      </w:tr>
      <w:tr w:rsidR="00690649"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649" w:rsidRDefault="003A3D1B">
            <w:pPr>
              <w:tabs>
                <w:tab w:val="left" w:pos="709"/>
              </w:tabs>
              <w:spacing w:line="228" w:lineRule="auto"/>
            </w:pPr>
            <w:r>
              <w:t xml:space="preserve">Финансовое </w:t>
            </w:r>
            <w:r>
              <w:t>обеспечение программы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49" w:rsidRDefault="003A3D1B">
            <w:pPr>
              <w:tabs>
                <w:tab w:val="left" w:pos="709"/>
              </w:tabs>
              <w:spacing w:line="228" w:lineRule="auto"/>
            </w:pPr>
            <w:r>
              <w:t xml:space="preserve">Всего по муниципальной программе: </w:t>
            </w:r>
            <w:r>
              <w:rPr>
                <w:b/>
              </w:rPr>
              <w:t xml:space="preserve">207 437,47 </w:t>
            </w:r>
            <w:r>
              <w:t>тыс. руб., в том числе:</w:t>
            </w:r>
          </w:p>
          <w:p w:rsidR="00690649" w:rsidRDefault="003A3D1B">
            <w:pPr>
              <w:tabs>
                <w:tab w:val="left" w:pos="709"/>
              </w:tabs>
              <w:spacing w:line="228" w:lineRule="auto"/>
            </w:pPr>
            <w:r>
              <w:t>МБ: 207 437,47 тыс. руб., из них:</w:t>
            </w:r>
          </w:p>
          <w:p w:rsidR="00690649" w:rsidRDefault="003A3D1B">
            <w:pPr>
              <w:tabs>
                <w:tab w:val="left" w:pos="709"/>
              </w:tabs>
              <w:spacing w:line="228" w:lineRule="auto"/>
            </w:pPr>
            <w:r>
              <w:t>2021 – 21 996,24 т</w:t>
            </w:r>
            <w:r>
              <w:t>ыс. руб.</w:t>
            </w:r>
          </w:p>
          <w:p w:rsidR="00690649" w:rsidRDefault="003A3D1B">
            <w:pPr>
              <w:tabs>
                <w:tab w:val="left" w:pos="709"/>
              </w:tabs>
              <w:spacing w:line="228" w:lineRule="auto"/>
            </w:pPr>
            <w:r>
              <w:t>2022 – 28 274,01 тыс. руб.</w:t>
            </w:r>
          </w:p>
          <w:p w:rsidR="00690649" w:rsidRDefault="003A3D1B">
            <w:pPr>
              <w:tabs>
                <w:tab w:val="left" w:pos="709"/>
              </w:tabs>
              <w:spacing w:line="228" w:lineRule="auto"/>
            </w:pPr>
            <w:r>
              <w:t>2023 –27 545,27 тыс. руб.</w:t>
            </w:r>
          </w:p>
          <w:p w:rsidR="00690649" w:rsidRDefault="003A3D1B">
            <w:pPr>
              <w:tabs>
                <w:tab w:val="left" w:pos="389"/>
              </w:tabs>
              <w:spacing w:line="228" w:lineRule="auto"/>
            </w:pPr>
            <w:r>
              <w:t>2024 – 31 692,25 тыс. руб.</w:t>
            </w:r>
          </w:p>
          <w:p w:rsidR="00690649" w:rsidRDefault="003A3D1B">
            <w:pPr>
              <w:tabs>
                <w:tab w:val="left" w:pos="459"/>
              </w:tabs>
              <w:spacing w:line="228" w:lineRule="auto"/>
            </w:pPr>
            <w:r>
              <w:t>2025 – 35 938,08 тыс. ру</w:t>
            </w:r>
            <w:r>
              <w:t>б.</w:t>
            </w:r>
          </w:p>
          <w:p w:rsidR="00690649" w:rsidRDefault="003A3D1B">
            <w:pPr>
              <w:tabs>
                <w:tab w:val="left" w:pos="459"/>
              </w:tabs>
              <w:spacing w:line="228" w:lineRule="auto"/>
            </w:pPr>
            <w:r>
              <w:t>2026 – 61 991,62 тыс. руб.</w:t>
            </w:r>
          </w:p>
          <w:p w:rsidR="00690649" w:rsidRDefault="00690649">
            <w:pPr>
              <w:tabs>
                <w:tab w:val="left" w:pos="459"/>
              </w:tabs>
              <w:spacing w:line="228" w:lineRule="auto"/>
            </w:pPr>
          </w:p>
          <w:p w:rsidR="00690649" w:rsidRDefault="003A3D1B">
            <w:pPr>
              <w:tabs>
                <w:tab w:val="left" w:pos="459"/>
              </w:tabs>
              <w:spacing w:line="228" w:lineRule="auto"/>
            </w:pPr>
            <w:r>
              <w:t>Подпрограмма 1. «Управление муниципальными финансами»</w:t>
            </w:r>
          </w:p>
          <w:p w:rsidR="00690649" w:rsidRDefault="003A3D1B">
            <w:pPr>
              <w:tabs>
                <w:tab w:val="left" w:pos="709"/>
              </w:tabs>
              <w:spacing w:line="228" w:lineRule="auto"/>
            </w:pPr>
            <w:r>
              <w:t xml:space="preserve">Всего по подпрограмме: </w:t>
            </w:r>
            <w:r>
              <w:rPr>
                <w:b/>
              </w:rPr>
              <w:t xml:space="preserve">207 437,47 </w:t>
            </w:r>
            <w:r>
              <w:t>тыс. руб., в том числе:</w:t>
            </w:r>
          </w:p>
          <w:p w:rsidR="00690649" w:rsidRDefault="003A3D1B">
            <w:pPr>
              <w:tabs>
                <w:tab w:val="left" w:pos="709"/>
              </w:tabs>
              <w:spacing w:line="228" w:lineRule="auto"/>
            </w:pPr>
            <w:r>
              <w:t>МБ: 207 437,47 тыс. руб</w:t>
            </w:r>
            <w:r>
              <w:t>., из них:</w:t>
            </w:r>
          </w:p>
          <w:p w:rsidR="00690649" w:rsidRDefault="003A3D1B">
            <w:pPr>
              <w:tabs>
                <w:tab w:val="left" w:pos="709"/>
              </w:tabs>
              <w:spacing w:line="228" w:lineRule="auto"/>
            </w:pPr>
            <w:r>
              <w:t>2021 – 21 996,24 тыс. руб.</w:t>
            </w:r>
          </w:p>
          <w:p w:rsidR="00690649" w:rsidRDefault="003A3D1B">
            <w:pPr>
              <w:tabs>
                <w:tab w:val="left" w:pos="709"/>
              </w:tabs>
              <w:spacing w:line="228" w:lineRule="auto"/>
            </w:pPr>
            <w:r>
              <w:t>2022 – 28 274,01 тыс. руб.</w:t>
            </w:r>
          </w:p>
          <w:p w:rsidR="00690649" w:rsidRDefault="003A3D1B">
            <w:pPr>
              <w:tabs>
                <w:tab w:val="left" w:pos="709"/>
              </w:tabs>
              <w:spacing w:line="228" w:lineRule="auto"/>
            </w:pPr>
            <w:r>
              <w:t>2023 –27 545,27 тыс. руб.</w:t>
            </w:r>
          </w:p>
          <w:p w:rsidR="00690649" w:rsidRDefault="003A3D1B">
            <w:pPr>
              <w:tabs>
                <w:tab w:val="left" w:pos="389"/>
              </w:tabs>
              <w:spacing w:line="228" w:lineRule="auto"/>
            </w:pPr>
            <w:r>
              <w:lastRenderedPageBreak/>
              <w:t>2024 – 31 692,25  тыс. руб.</w:t>
            </w:r>
          </w:p>
          <w:p w:rsidR="00690649" w:rsidRDefault="003A3D1B">
            <w:pPr>
              <w:tabs>
                <w:tab w:val="left" w:pos="459"/>
              </w:tabs>
              <w:spacing w:line="228" w:lineRule="auto"/>
            </w:pPr>
            <w:r>
              <w:t>2025 – 35</w:t>
            </w:r>
            <w:r w:rsidR="00010D91">
              <w:t> 605,40</w:t>
            </w:r>
            <w:r>
              <w:t xml:space="preserve"> тыс. руб.</w:t>
            </w:r>
          </w:p>
          <w:p w:rsidR="00690649" w:rsidRDefault="003A3D1B" w:rsidP="00010D91">
            <w:pPr>
              <w:tabs>
                <w:tab w:val="left" w:pos="459"/>
              </w:tabs>
              <w:spacing w:line="228" w:lineRule="auto"/>
            </w:pPr>
            <w:r>
              <w:t>2026 – 61</w:t>
            </w:r>
            <w:r w:rsidR="00010D91">
              <w:t> 889,83</w:t>
            </w:r>
            <w:bookmarkStart w:id="0" w:name="_GoBack"/>
            <w:bookmarkEnd w:id="0"/>
            <w:r>
              <w:t xml:space="preserve"> тыс. руб.</w:t>
            </w:r>
          </w:p>
        </w:tc>
      </w:tr>
      <w:tr w:rsidR="00690649">
        <w:trPr>
          <w:trHeight w:val="350"/>
        </w:trPr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649" w:rsidRDefault="003A3D1B">
            <w:pPr>
              <w:tabs>
                <w:tab w:val="left" w:pos="709"/>
              </w:tabs>
              <w:spacing w:line="228" w:lineRule="auto"/>
            </w:pPr>
            <w:r>
              <w:lastRenderedPageBreak/>
              <w:t>Ожидаемые конечные результаты реализации программы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649" w:rsidRDefault="003A3D1B">
            <w:pPr>
              <w:spacing w:line="228" w:lineRule="auto"/>
              <w:jc w:val="both"/>
            </w:pPr>
            <w:r>
              <w:t>До конца срока реализации подпрограммы 2026 года необходимо достичь следующих результатов:</w:t>
            </w:r>
          </w:p>
          <w:p w:rsidR="00690649" w:rsidRDefault="003A3D1B">
            <w:pPr>
              <w:spacing w:line="228" w:lineRule="auto"/>
              <w:jc w:val="both"/>
            </w:pPr>
            <w:r>
              <w:t xml:space="preserve">1. Объем налоговых и неналоговых доходов местного </w:t>
            </w:r>
            <w:proofErr w:type="gramStart"/>
            <w:r>
              <w:t>бюджета</w:t>
            </w:r>
            <w:proofErr w:type="gramEnd"/>
            <w:r>
              <w:t xml:space="preserve"> ЗАТО г. Североморск, тыс. руб.- 1 346 695,2; </w:t>
            </w:r>
          </w:p>
          <w:p w:rsidR="00690649" w:rsidRDefault="003A3D1B">
            <w:pPr>
              <w:spacing w:line="228" w:lineRule="auto"/>
              <w:jc w:val="both"/>
            </w:pPr>
            <w:r>
              <w:t xml:space="preserve">2.Степень качества управления муниципальными финансами, </w:t>
            </w:r>
            <w:proofErr w:type="gramStart"/>
            <w:r>
              <w:t>присвоенная</w:t>
            </w:r>
            <w:proofErr w:type="gramEnd"/>
            <w:r>
              <w:t xml:space="preserve"> ЗАТО г. Североморск Министерством финансов Мурманской области, группа – не ниже 2.</w:t>
            </w:r>
          </w:p>
          <w:p w:rsidR="00690649" w:rsidRDefault="003A3D1B">
            <w:pPr>
              <w:spacing w:line="228" w:lineRule="auto"/>
              <w:jc w:val="both"/>
            </w:pPr>
            <w:r>
              <w:t>3</w:t>
            </w:r>
            <w:r>
              <w:t>.Доля расходов местного бюджета, формируемых в рамках муниципальных программ, % - 95.</w:t>
            </w:r>
          </w:p>
          <w:p w:rsidR="00690649" w:rsidRDefault="003A3D1B">
            <w:pPr>
              <w:spacing w:line="228" w:lineRule="auto"/>
              <w:jc w:val="both"/>
            </w:pPr>
            <w:r>
              <w:t>4. Доля доходов местного бюджета от использования объектов муниципального имущества в общем объеме доходов, % - 1,0.</w:t>
            </w:r>
          </w:p>
          <w:p w:rsidR="00690649" w:rsidRDefault="003A3D1B">
            <w:pPr>
              <w:spacing w:line="228" w:lineRule="auto"/>
              <w:jc w:val="both"/>
            </w:pPr>
            <w:r>
              <w:t>5. Доля просроченной кредиторской задолженности в общ</w:t>
            </w:r>
            <w:r>
              <w:t>ем объеме расходов бюджета, % - 0.</w:t>
            </w:r>
          </w:p>
        </w:tc>
      </w:tr>
    </w:tbl>
    <w:p w:rsidR="00690649" w:rsidRDefault="00690649"/>
    <w:p w:rsidR="00690649" w:rsidRDefault="00690649">
      <w:pPr>
        <w:rPr>
          <w:sz w:val="10"/>
        </w:rPr>
      </w:pPr>
    </w:p>
    <w:sectPr w:rsidR="00690649">
      <w:headerReference w:type="default" r:id="rId6"/>
      <w:pgSz w:w="11906" w:h="16838"/>
      <w:pgMar w:top="624" w:right="1134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D1B" w:rsidRDefault="003A3D1B">
      <w:r>
        <w:separator/>
      </w:r>
    </w:p>
  </w:endnote>
  <w:endnote w:type="continuationSeparator" w:id="0">
    <w:p w:rsidR="003A3D1B" w:rsidRDefault="003A3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D1B" w:rsidRDefault="003A3D1B">
      <w:r>
        <w:separator/>
      </w:r>
    </w:p>
  </w:footnote>
  <w:footnote w:type="continuationSeparator" w:id="0">
    <w:p w:rsidR="003A3D1B" w:rsidRDefault="003A3D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649" w:rsidRDefault="00690649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649"/>
    <w:rsid w:val="00010D91"/>
    <w:rsid w:val="003A3D1B"/>
    <w:rsid w:val="0069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762453-4541-4C59-AF36-2CBC27AE0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pacing w:val="90"/>
      <w:sz w:val="6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sz w:val="1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Body Text 2"/>
    <w:basedOn w:val="a"/>
    <w:link w:val="22"/>
    <w:pPr>
      <w:spacing w:after="120" w:line="480" w:lineRule="auto"/>
    </w:pPr>
  </w:style>
  <w:style w:type="character" w:customStyle="1" w:styleId="22">
    <w:name w:val="Основной текст 2 Знак"/>
    <w:basedOn w:val="1"/>
    <w:link w:val="21"/>
    <w:rPr>
      <w:sz w:val="24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sz w:val="24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basedOn w:val="1"/>
    <w:link w:val="31"/>
    <w:rPr>
      <w:sz w:val="16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5">
    <w:name w:val="Body Text Indent"/>
    <w:basedOn w:val="a"/>
    <w:link w:val="a6"/>
    <w:pPr>
      <w:spacing w:after="120"/>
      <w:ind w:left="283"/>
    </w:pPr>
  </w:style>
  <w:style w:type="character" w:customStyle="1" w:styleId="a6">
    <w:name w:val="Основной текст с отступом Знак"/>
    <w:basedOn w:val="1"/>
    <w:link w:val="a5"/>
    <w:rPr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b/>
      <w:sz w:val="18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styleId="a7">
    <w:name w:val="No Spacing"/>
    <w:link w:val="a8"/>
    <w:pPr>
      <w:widowControl w:val="0"/>
    </w:pPr>
  </w:style>
  <w:style w:type="character" w:customStyle="1" w:styleId="a8">
    <w:name w:val="Без интервала Знак"/>
    <w:link w:val="a7"/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1"/>
    <w:link w:val="a9"/>
    <w:rPr>
      <w:sz w:val="24"/>
    </w:rPr>
  </w:style>
  <w:style w:type="paragraph" w:customStyle="1" w:styleId="12">
    <w:name w:val="Основной шрифт абзаца1"/>
    <w:link w:val="33"/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Pr>
      <w:rFonts w:ascii="Calibri" w:hAnsi="Calibri"/>
      <w:b/>
      <w:sz w:val="22"/>
    </w:rPr>
  </w:style>
  <w:style w:type="paragraph" w:customStyle="1" w:styleId="13">
    <w:name w:val="Строгий1"/>
    <w:link w:val="ab"/>
    <w:rPr>
      <w:b/>
    </w:rPr>
  </w:style>
  <w:style w:type="character" w:styleId="ab">
    <w:name w:val="Strong"/>
    <w:link w:val="13"/>
    <w:rPr>
      <w:b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b/>
      <w:spacing w:val="90"/>
      <w:sz w:val="64"/>
    </w:rPr>
  </w:style>
  <w:style w:type="paragraph" w:styleId="ac">
    <w:name w:val="Body Text"/>
    <w:basedOn w:val="a"/>
    <w:link w:val="ad"/>
    <w:rPr>
      <w:sz w:val="28"/>
    </w:rPr>
  </w:style>
  <w:style w:type="character" w:customStyle="1" w:styleId="ad">
    <w:name w:val="Основной текст Знак"/>
    <w:basedOn w:val="1"/>
    <w:link w:val="ac"/>
    <w:rPr>
      <w:sz w:val="28"/>
    </w:rPr>
  </w:style>
  <w:style w:type="paragraph" w:customStyle="1" w:styleId="14">
    <w:name w:val="Гиперссылка1"/>
    <w:link w:val="ae"/>
    <w:rPr>
      <w:color w:val="0000FF"/>
      <w:u w:val="single"/>
    </w:rPr>
  </w:style>
  <w:style w:type="character" w:styleId="ae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f">
    <w:name w:val="Balloon Text"/>
    <w:basedOn w:val="a"/>
    <w:link w:val="af0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Style14">
    <w:name w:val="Style14"/>
    <w:basedOn w:val="a"/>
    <w:link w:val="Style140"/>
    <w:pPr>
      <w:widowControl w:val="0"/>
      <w:spacing w:line="274" w:lineRule="exact"/>
      <w:jc w:val="both"/>
    </w:pPr>
  </w:style>
  <w:style w:type="character" w:customStyle="1" w:styleId="Style140">
    <w:name w:val="Style14"/>
    <w:basedOn w:val="1"/>
    <w:link w:val="Style14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1">
    <w:name w:val="header"/>
    <w:basedOn w:val="a"/>
    <w:link w:val="af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1"/>
    <w:link w:val="af1"/>
    <w:rPr>
      <w:sz w:val="24"/>
    </w:rPr>
  </w:style>
  <w:style w:type="paragraph" w:customStyle="1" w:styleId="af3">
    <w:name w:val="удалить"/>
    <w:basedOn w:val="a"/>
    <w:link w:val="af4"/>
  </w:style>
  <w:style w:type="character" w:customStyle="1" w:styleId="af4">
    <w:name w:val="удалить"/>
    <w:basedOn w:val="1"/>
    <w:link w:val="af3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ListParagraph1">
    <w:name w:val="List Paragraph1"/>
    <w:basedOn w:val="a"/>
    <w:link w:val="ListParagraph10"/>
    <w:pPr>
      <w:ind w:left="720"/>
      <w:contextualSpacing/>
    </w:pPr>
  </w:style>
  <w:style w:type="character" w:customStyle="1" w:styleId="ListParagraph10">
    <w:name w:val="List Paragraph1"/>
    <w:basedOn w:val="1"/>
    <w:link w:val="ListParagraph1"/>
    <w:rPr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7">
    <w:name w:val="Просмотренная гиперссылка1"/>
    <w:link w:val="af5"/>
    <w:rPr>
      <w:color w:val="800080"/>
      <w:u w:val="single"/>
    </w:rPr>
  </w:style>
  <w:style w:type="character" w:styleId="af5">
    <w:name w:val="FollowedHyperlink"/>
    <w:link w:val="17"/>
    <w:rPr>
      <w:color w:val="800080"/>
      <w:u w:val="single"/>
    </w:rPr>
  </w:style>
  <w:style w:type="paragraph" w:customStyle="1" w:styleId="FontStyle73">
    <w:name w:val="Font Style73"/>
    <w:link w:val="FontStyle730"/>
    <w:rPr>
      <w:sz w:val="22"/>
    </w:rPr>
  </w:style>
  <w:style w:type="character" w:customStyle="1" w:styleId="FontStyle730">
    <w:name w:val="Font Style73"/>
    <w:link w:val="FontStyle73"/>
    <w:rPr>
      <w:rFonts w:ascii="Times New Roman" w:hAnsi="Times New Roman"/>
      <w:sz w:val="22"/>
    </w:rPr>
  </w:style>
  <w:style w:type="paragraph" w:styleId="af6">
    <w:name w:val="Subtitle"/>
    <w:next w:val="a"/>
    <w:link w:val="af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rPr>
      <w:rFonts w:ascii="XO Thames" w:hAnsi="XO Thames"/>
      <w:i/>
      <w:sz w:val="24"/>
    </w:rPr>
  </w:style>
  <w:style w:type="paragraph" w:styleId="af8">
    <w:name w:val="Title"/>
    <w:basedOn w:val="a"/>
    <w:link w:val="af9"/>
    <w:uiPriority w:val="10"/>
    <w:qFormat/>
    <w:pPr>
      <w:jc w:val="center"/>
    </w:pPr>
    <w:rPr>
      <w:b/>
      <w:sz w:val="32"/>
    </w:rPr>
  </w:style>
  <w:style w:type="character" w:customStyle="1" w:styleId="af9">
    <w:name w:val="Название Знак"/>
    <w:basedOn w:val="1"/>
    <w:link w:val="af8"/>
    <w:rPr>
      <w:b/>
      <w:sz w:val="32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character" w:customStyle="1" w:styleId="20">
    <w:name w:val="Заголовок 2 Знак"/>
    <w:basedOn w:val="1"/>
    <w:link w:val="2"/>
    <w:rPr>
      <w:b/>
      <w:sz w:val="24"/>
    </w:rPr>
  </w:style>
  <w:style w:type="paragraph" w:customStyle="1" w:styleId="Default">
    <w:name w:val="Default"/>
    <w:link w:val="Default0"/>
    <w:rPr>
      <w:rFonts w:ascii="Calibri" w:hAnsi="Calibri"/>
      <w:sz w:val="24"/>
    </w:rPr>
  </w:style>
  <w:style w:type="character" w:customStyle="1" w:styleId="Default0">
    <w:name w:val="Default"/>
    <w:link w:val="Default"/>
    <w:rPr>
      <w:rFonts w:ascii="Calibri" w:hAnsi="Calibri"/>
      <w:color w:val="000000"/>
      <w:sz w:val="24"/>
    </w:rPr>
  </w:style>
  <w:style w:type="table" w:styleId="af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Агаркова ОН</cp:lastModifiedBy>
  <cp:revision>2</cp:revision>
  <dcterms:created xsi:type="dcterms:W3CDTF">2024-11-13T09:00:00Z</dcterms:created>
  <dcterms:modified xsi:type="dcterms:W3CDTF">2024-11-13T09:00:00Z</dcterms:modified>
</cp:coreProperties>
</file>